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A" w:rsidRPr="000D442A" w:rsidRDefault="000D442A" w:rsidP="000D442A">
      <w:pPr>
        <w:keepNext/>
        <w:keepLines/>
        <w:numPr>
          <w:ilvl w:val="0"/>
          <w:numId w:val="28"/>
        </w:numPr>
        <w:tabs>
          <w:tab w:val="left" w:pos="708"/>
        </w:tabs>
        <w:spacing w:after="0" w:line="240" w:lineRule="auto"/>
        <w:ind w:left="360"/>
        <w:jc w:val="both"/>
        <w:outlineLvl w:val="2"/>
        <w:rPr>
          <w:rFonts w:ascii="Arial Narrow" w:eastAsia="Times New Roman" w:hAnsi="Arial Narrow" w:cs="Times New Roman"/>
          <w:b/>
          <w:bCs/>
          <w:u w:val="single"/>
        </w:rPr>
      </w:pPr>
      <w:r w:rsidRPr="000D442A">
        <w:rPr>
          <w:rFonts w:ascii="Arial Narrow" w:eastAsia="Times New Roman" w:hAnsi="Arial Narrow" w:cs="Times New Roman"/>
          <w:b/>
          <w:bCs/>
          <w:u w:val="single"/>
        </w:rPr>
        <w:t>Podstawowe zasady realizacji zleceń od zleceniodawców zewnętrznych, którzy dostarczają materiał do badań laboratoryjnych wykonywanych w SPDL</w:t>
      </w:r>
    </w:p>
    <w:p w:rsidR="000D442A" w:rsidRPr="000D442A" w:rsidRDefault="000D442A" w:rsidP="000D442A">
      <w:pPr>
        <w:spacing w:after="0" w:line="240" w:lineRule="auto"/>
        <w:ind w:left="397"/>
        <w:contextualSpacing/>
        <w:jc w:val="both"/>
        <w:rPr>
          <w:rFonts w:ascii="Arial Narrow" w:eastAsia="Calibri" w:hAnsi="Arial Narrow" w:cs="Times New Roman"/>
        </w:rPr>
      </w:pPr>
      <w:bookmarkStart w:id="0" w:name="_GoBack"/>
      <w:bookmarkEnd w:id="0"/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celu realizacji zlecenia konieczne jest pisemne zamówienie zleceniodawcy, wystawione zgodnie z umową lub innymi ustaleniami, tj. skierowanie / wniosek na wykonanie określonego badania. Zaleca się korzystanie ze wzoru skierowania dla zleceniodawców zewnętrznych zamieszczonego w Księdze Standardów SPDL:</w:t>
      </w:r>
      <w:r w:rsidRPr="000D442A">
        <w:rPr>
          <w:rFonts w:ascii="Arial Narrow" w:eastAsia="Calibri" w:hAnsi="Arial Narrow" w:cs="Times New Roman"/>
          <w:i/>
        </w:rPr>
        <w:t xml:space="preserve"> </w:t>
      </w:r>
      <w:r w:rsidRPr="000D442A">
        <w:rPr>
          <w:rFonts w:ascii="Arial Narrow" w:eastAsia="Calibri" w:hAnsi="Arial Narrow" w:cs="Times New Roman"/>
          <w:i/>
          <w:u w:val="single"/>
        </w:rPr>
        <w:t xml:space="preserve">PR15.13_P4_K1_F3_ Formularz skierowania </w:t>
      </w:r>
      <w:r w:rsidRPr="000D442A">
        <w:rPr>
          <w:rFonts w:ascii="Arial Narrow" w:eastAsia="Calibri" w:hAnsi="Arial Narrow" w:cs="Times New Roman"/>
          <w:b/>
          <w:i/>
          <w:u w:val="single"/>
        </w:rPr>
        <w:t>na płatne</w:t>
      </w:r>
      <w:r w:rsidRPr="000D442A">
        <w:rPr>
          <w:rFonts w:ascii="Arial Narrow" w:eastAsia="Calibri" w:hAnsi="Arial Narrow" w:cs="Times New Roman"/>
          <w:i/>
          <w:u w:val="single"/>
        </w:rPr>
        <w:t xml:space="preserve"> badania laboratoryjne zlecane do SPDL</w:t>
      </w:r>
      <w:r w:rsidRPr="000D442A">
        <w:rPr>
          <w:rFonts w:ascii="Arial Narrow" w:eastAsia="Calibri" w:hAnsi="Arial Narrow" w:cs="Times New Roman"/>
          <w:u w:val="single"/>
        </w:rPr>
        <w:t>,</w:t>
      </w:r>
      <w:r w:rsidRPr="000D442A">
        <w:rPr>
          <w:rFonts w:ascii="Arial Narrow" w:eastAsia="Calibri" w:hAnsi="Arial Narrow" w:cs="Times New Roman"/>
        </w:rPr>
        <w:t xml:space="preserve"> który jest również dostępny online na stronie internetowej: </w:t>
      </w:r>
      <w:hyperlink r:id="rId9" w:history="1">
        <w:r w:rsidRPr="000D442A">
          <w:rPr>
            <w:rFonts w:ascii="Calibri" w:eastAsia="Calibri" w:hAnsi="Calibri" w:cs="Times New Roman"/>
            <w:color w:val="0563C1"/>
            <w:u w:val="single"/>
          </w:rPr>
          <w:t>www.pib-nio.pl</w:t>
        </w:r>
      </w:hyperlink>
      <w:r w:rsidRPr="000D442A">
        <w:rPr>
          <w:rFonts w:ascii="Arial Narrow" w:eastAsia="Calibri" w:hAnsi="Arial Narrow" w:cs="Times New Roman"/>
        </w:rPr>
        <w:t xml:space="preserve">  - zakładka dla lekarzy.</w:t>
      </w:r>
    </w:p>
    <w:p w:rsidR="000D442A" w:rsidRPr="000D442A" w:rsidRDefault="000D442A" w:rsidP="000D442A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Podstawowe informacje wymagane na skierowaniu / wniosku o wykonanie badania: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pieczątka nagłówkowa jednostki / komórki organizacyjnej zlecającej badanie,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imię, nazwisko, data urodzenia oraz numer PESEL pacjenta,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wypadku pseudonimizacji danych osobowych pacjenta - numer identyfikacyjny pacjenta,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rodzaj świadczenia (w zakresie umowy i/lub listy badań wykonywanych w SPDL), 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potwierdzenie zapoznania się z wymaganiami SPDL (zaznaczyć na skierowaniu),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zgoda płatnika zewnętrznego na pokrycie planowanych kosztów badań (przy braku umowy),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pieczęć i podpis płatnika zewnętrznego / dyrekcji jednostki zlecającej (przy braku umowy),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jednoznaczna identyfikacja / oznaczenie lekarza zlecającego (np. pieczątka i podpis), 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data i godzina pobrania materiału do badań,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identyfikacja / dane osoby pobierającej materiał do badań, </w:t>
      </w:r>
    </w:p>
    <w:p w:rsidR="000D442A" w:rsidRPr="000D442A" w:rsidRDefault="000D442A" w:rsidP="000D442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rodzaj dostarczonego materiału do badań.</w:t>
      </w:r>
    </w:p>
    <w:p w:rsidR="000D442A" w:rsidRPr="000D442A" w:rsidRDefault="000D442A" w:rsidP="000D442A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23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Zleceniodawca zewnętrzny jest zobowiązany do zapoznania się i postępowania zgodnie z odpowiednimi zaleceniami dotyczącymi zasad przygotowania pacjenta do określonych oznaczeń laboratoryjnych oraz zasad pobierania i transportu materiału do badań laboratoryjnych wykonywanych w SPDL (patrz punkt B i C). </w:t>
      </w:r>
    </w:p>
    <w:p w:rsidR="000D442A" w:rsidRPr="000D442A" w:rsidRDefault="000D442A" w:rsidP="000D442A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Szczegółowe informacje dotyczące zasad realizacji zleceń na badania laboratoryjne, w tym opis procedur postępowania przed- i polaboratoryjnego obowiązujących na terenie SPDL wraz z wykazem stosowanych metod badawczych zostały przestawione w Księdze Standardów SPDL, która może zostać udostępniona (w postaci pdf.) w całości lub części na życzenie Zleceniodawcy. </w:t>
      </w:r>
    </w:p>
    <w:p w:rsidR="000D442A" w:rsidRPr="000D442A" w:rsidRDefault="000D442A" w:rsidP="000D442A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przypadku wykonania przez SPDL świadczenia niezgodnie ze skierowaniem / umową lub w przypadku zniszczenia materiału dostarczonego od Zleceniodawcy zgodnie z ustaleniami, SPDL wykona powtórnie świadczenie w trybie pilnym i nie obciąży Zleceniodawcy dodatkowymi kosztami.</w:t>
      </w:r>
    </w:p>
    <w:p w:rsidR="000D442A" w:rsidRPr="000D442A" w:rsidRDefault="000D442A" w:rsidP="000D442A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Za prawidłowe przygotowanie pacjenta, pobranie materiału do badań, jego zabezpieczenie oraz zapewnienie odpowiednich warunków transportu, odpowiada Zleceniodawca.</w:t>
      </w:r>
    </w:p>
    <w:p w:rsidR="000D442A" w:rsidRPr="000D442A" w:rsidRDefault="000D442A" w:rsidP="000D442A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przypadku dostarczenia materiału niezgodnego z ustaleniami (np. uszkodzenie próbki w trakcie transportu i /lub nieodpowiednie warunki transportu) Wykonawca / SPDL może odmówić wykonania świadczenia.</w:t>
      </w:r>
    </w:p>
    <w:p w:rsidR="000D442A" w:rsidRPr="000D442A" w:rsidRDefault="000D442A" w:rsidP="000D442A">
      <w:pPr>
        <w:keepNext/>
        <w:keepLines/>
        <w:tabs>
          <w:tab w:val="left" w:pos="708"/>
        </w:tabs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color w:val="000000"/>
          <w:u w:val="single"/>
        </w:rPr>
      </w:pPr>
      <w:bookmarkStart w:id="1" w:name="_Toc525642694"/>
    </w:p>
    <w:p w:rsidR="000D442A" w:rsidRPr="000D442A" w:rsidRDefault="000D442A" w:rsidP="000D442A">
      <w:pPr>
        <w:keepNext/>
        <w:keepLines/>
        <w:numPr>
          <w:ilvl w:val="0"/>
          <w:numId w:val="28"/>
        </w:numPr>
        <w:tabs>
          <w:tab w:val="left" w:pos="708"/>
        </w:tabs>
        <w:spacing w:after="0" w:line="240" w:lineRule="auto"/>
        <w:ind w:left="357" w:hanging="357"/>
        <w:contextualSpacing/>
        <w:jc w:val="both"/>
        <w:outlineLvl w:val="0"/>
        <w:rPr>
          <w:rFonts w:ascii="Arial Narrow" w:eastAsia="Times New Roman" w:hAnsi="Arial Narrow" w:cs="Times New Roman"/>
          <w:b/>
          <w:color w:val="000000"/>
          <w:u w:val="single"/>
        </w:rPr>
      </w:pPr>
      <w:r w:rsidRPr="000D442A">
        <w:rPr>
          <w:rFonts w:ascii="Arial Narrow" w:eastAsia="Times New Roman" w:hAnsi="Arial Narrow" w:cs="Times New Roman"/>
          <w:b/>
          <w:color w:val="000000"/>
          <w:u w:val="single"/>
        </w:rPr>
        <w:t>Zasady pobierania i wstępnego przygotowania materiału do badań laboratoryjnych</w:t>
      </w:r>
      <w:bookmarkEnd w:id="1"/>
      <w:r w:rsidRPr="000D442A">
        <w:rPr>
          <w:rFonts w:ascii="Arial Narrow" w:eastAsia="Times New Roman" w:hAnsi="Arial Narrow" w:cs="Times New Roman"/>
          <w:b/>
          <w:color w:val="000000"/>
          <w:u w:val="single"/>
        </w:rPr>
        <w:t xml:space="preserve"> wykonywanych w SPDL:</w:t>
      </w:r>
    </w:p>
    <w:p w:rsidR="000D442A" w:rsidRPr="000D442A" w:rsidRDefault="000D442A" w:rsidP="000D442A">
      <w:pPr>
        <w:keepNext/>
        <w:keepLines/>
        <w:tabs>
          <w:tab w:val="left" w:pos="708"/>
        </w:tabs>
        <w:spacing w:after="0" w:line="240" w:lineRule="auto"/>
        <w:ind w:left="757"/>
        <w:contextualSpacing/>
        <w:jc w:val="both"/>
        <w:outlineLvl w:val="1"/>
        <w:rPr>
          <w:rFonts w:ascii="Arial Narrow" w:eastAsia="Times New Roman" w:hAnsi="Arial Narrow" w:cs="Times New Roman"/>
          <w:b/>
          <w:color w:val="000000"/>
          <w:u w:val="single"/>
        </w:rPr>
      </w:pPr>
    </w:p>
    <w:p w:rsidR="000D442A" w:rsidRPr="000D442A" w:rsidRDefault="000D442A" w:rsidP="000D442A">
      <w:pPr>
        <w:keepNext/>
        <w:keepLines/>
        <w:numPr>
          <w:ilvl w:val="0"/>
          <w:numId w:val="31"/>
        </w:numPr>
        <w:tabs>
          <w:tab w:val="left" w:pos="708"/>
        </w:tabs>
        <w:spacing w:after="0" w:line="240" w:lineRule="auto"/>
        <w:ind w:left="340"/>
        <w:contextualSpacing/>
        <w:jc w:val="both"/>
        <w:outlineLvl w:val="0"/>
        <w:rPr>
          <w:rFonts w:ascii="Arial Narrow" w:eastAsia="Times New Roman" w:hAnsi="Arial Narrow" w:cs="Times New Roman"/>
          <w:color w:val="000000"/>
        </w:rPr>
      </w:pPr>
      <w:r w:rsidRPr="000D442A">
        <w:rPr>
          <w:rFonts w:ascii="Arial Narrow" w:eastAsia="Times New Roman" w:hAnsi="Arial Narrow" w:cs="Times New Roman"/>
          <w:color w:val="000000"/>
        </w:rPr>
        <w:t>W warunkach standardowych materiał do badań laboratoryjnych należy pobierać w godzinach rannych i dostarczać do SPDL w godzinach przedpołudniowych, jeśli jest to możliwe ze względów klinicznych. Jeżeli jest to celowe, należy poinformować pacjenta o zaleceniach związanych z samodzielnym przygotowaniem się do badania laboratoryjnego.</w:t>
      </w:r>
    </w:p>
    <w:p w:rsidR="000D442A" w:rsidRPr="000D442A" w:rsidRDefault="000D442A" w:rsidP="000D442A">
      <w:pPr>
        <w:keepNext/>
        <w:keepLines/>
        <w:tabs>
          <w:tab w:val="left" w:pos="708"/>
        </w:tabs>
        <w:spacing w:after="0" w:line="240" w:lineRule="auto"/>
        <w:ind w:left="340"/>
        <w:contextualSpacing/>
        <w:jc w:val="both"/>
        <w:outlineLvl w:val="0"/>
        <w:rPr>
          <w:rFonts w:ascii="Arial Narrow" w:eastAsia="Times New Roman" w:hAnsi="Arial Narrow" w:cs="Times New Roman"/>
          <w:color w:val="000000"/>
        </w:rPr>
      </w:pPr>
    </w:p>
    <w:p w:rsidR="000D442A" w:rsidRPr="00E870C4" w:rsidRDefault="000D442A" w:rsidP="00E870C4">
      <w:pPr>
        <w:numPr>
          <w:ilvl w:val="0"/>
          <w:numId w:val="31"/>
        </w:numPr>
        <w:spacing w:after="0" w:line="240" w:lineRule="auto"/>
        <w:ind w:left="340" w:hanging="357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>Instrukcje dla pacjentów dotyczące zasad samodzielnego przygotowania się do wykonania określonego badania laboratoryjnego są dostępne w</w:t>
      </w:r>
      <w:r w:rsidRPr="000D442A">
        <w:rPr>
          <w:rFonts w:ascii="Arial Narrow" w:eastAsia="Calibri" w:hAnsi="Arial Narrow" w:cs="Times New Roman"/>
        </w:rPr>
        <w:t xml:space="preserve"> na stronie internetowej: </w:t>
      </w:r>
      <w:hyperlink r:id="rId10" w:history="1">
        <w:r w:rsidRPr="000D442A">
          <w:rPr>
            <w:rFonts w:ascii="Calibri" w:eastAsia="Calibri" w:hAnsi="Calibri" w:cs="Times New Roman"/>
            <w:color w:val="0563C1"/>
            <w:u w:val="single"/>
          </w:rPr>
          <w:t>www.pib-nio.pl</w:t>
        </w:r>
      </w:hyperlink>
      <w:r w:rsidRPr="000D442A">
        <w:rPr>
          <w:rFonts w:ascii="Arial Narrow" w:eastAsia="Calibri" w:hAnsi="Arial Narrow" w:cs="Times New Roman"/>
        </w:rPr>
        <w:t xml:space="preserve">  - zakładka dla lekarzy oraz</w:t>
      </w:r>
      <w:r w:rsidRPr="000D442A">
        <w:rPr>
          <w:rFonts w:ascii="Arial Narrow" w:eastAsia="Times New Roman" w:hAnsi="Arial Narrow" w:cs="Times New Roman"/>
          <w:bCs/>
        </w:rPr>
        <w:t xml:space="preserve"> w </w:t>
      </w:r>
      <w:r w:rsidRPr="000D442A">
        <w:rPr>
          <w:rFonts w:ascii="Arial Narrow" w:eastAsia="Times New Roman" w:hAnsi="Arial Narrow" w:cs="Times New Roman"/>
          <w:bCs/>
          <w:i/>
        </w:rPr>
        <w:t>Załączniku nr 2 do Księgi Standardów SPDL_Zalecenia dla pacjentów indywidualnych SPDL – ABC pacjenta,</w:t>
      </w:r>
      <w:r w:rsidRPr="000D442A">
        <w:rPr>
          <w:rFonts w:ascii="Arial Narrow" w:eastAsia="Times New Roman" w:hAnsi="Arial Narrow" w:cs="Times New Roman"/>
          <w:bCs/>
        </w:rPr>
        <w:t xml:space="preserve"> który stanowi część umowy i/lub może być udostępniony na życzenie Zleceniodawcy. </w:t>
      </w:r>
    </w:p>
    <w:p w:rsidR="000D442A" w:rsidRPr="000D442A" w:rsidRDefault="000D442A" w:rsidP="000D442A">
      <w:pPr>
        <w:spacing w:after="0" w:line="240" w:lineRule="auto"/>
        <w:ind w:left="340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keepNext/>
        <w:keepLines/>
        <w:numPr>
          <w:ilvl w:val="0"/>
          <w:numId w:val="31"/>
        </w:numPr>
        <w:tabs>
          <w:tab w:val="left" w:pos="708"/>
        </w:tabs>
        <w:spacing w:after="0" w:line="240" w:lineRule="auto"/>
        <w:ind w:left="340"/>
        <w:contextualSpacing/>
        <w:jc w:val="both"/>
        <w:outlineLvl w:val="0"/>
        <w:rPr>
          <w:rFonts w:ascii="Arial Narrow" w:eastAsia="Times New Roman" w:hAnsi="Arial Narrow" w:cs="Times New Roman"/>
          <w:color w:val="000000"/>
        </w:rPr>
      </w:pPr>
      <w:r w:rsidRPr="000D442A">
        <w:rPr>
          <w:rFonts w:ascii="Arial Narrow" w:eastAsia="Times New Roman" w:hAnsi="Arial Narrow" w:cs="Times New Roman"/>
          <w:bCs/>
        </w:rPr>
        <w:t>Standardowo krew żylną do badań rutynowych należy pobierać od pacjentów:</w:t>
      </w:r>
    </w:p>
    <w:p w:rsidR="000D442A" w:rsidRPr="000D442A" w:rsidRDefault="000D442A" w:rsidP="000D442A">
      <w:pPr>
        <w:numPr>
          <w:ilvl w:val="0"/>
          <w:numId w:val="32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godzinach rannych i/lub przedpołudniowych,</w:t>
      </w:r>
    </w:p>
    <w:p w:rsidR="000D442A" w:rsidRPr="000D442A" w:rsidRDefault="000D442A" w:rsidP="000D442A">
      <w:pPr>
        <w:numPr>
          <w:ilvl w:val="0"/>
          <w:numId w:val="32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zazwyczaj pozostających na czczo, przy zachowaniu dotychczasowej diety,</w:t>
      </w:r>
    </w:p>
    <w:p w:rsidR="000D442A" w:rsidRPr="000D442A" w:rsidRDefault="000D442A" w:rsidP="000D442A">
      <w:pPr>
        <w:numPr>
          <w:ilvl w:val="0"/>
          <w:numId w:val="32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przed leczeniem lub po ewentualnym odstawieniu leków mogących wpływać na poziom mierzonego</w:t>
      </w:r>
    </w:p>
    <w:p w:rsidR="000D442A" w:rsidRPr="000D442A" w:rsidRDefault="000D442A" w:rsidP="000D442A">
      <w:pPr>
        <w:spacing w:after="0" w:line="240" w:lineRule="auto"/>
        <w:ind w:left="72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składnika, o ile jest to możliwe ze względów terapeutycznych,</w:t>
      </w:r>
    </w:p>
    <w:p w:rsidR="000D442A" w:rsidRPr="000D442A" w:rsidRDefault="000D442A" w:rsidP="000D442A">
      <w:pPr>
        <w:numPr>
          <w:ilvl w:val="0"/>
          <w:numId w:val="32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>u pacjentów, którzy nie mogą być na czczo, przed pobraniem krwi dopuszcza się lekkie, najlepiej beztłuszczowe śniadanie.</w:t>
      </w:r>
    </w:p>
    <w:p w:rsidR="000D442A" w:rsidRPr="000D442A" w:rsidRDefault="000D442A" w:rsidP="000D442A">
      <w:pPr>
        <w:spacing w:after="0" w:line="256" w:lineRule="auto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31"/>
        </w:numPr>
        <w:spacing w:after="0" w:line="240" w:lineRule="auto"/>
        <w:ind w:left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 xml:space="preserve">Mocz do oznaczania parametrów z zakresu białek specyficznych (białko </w:t>
      </w:r>
      <w:proofErr w:type="spellStart"/>
      <w:r w:rsidRPr="000D442A">
        <w:rPr>
          <w:rFonts w:ascii="Arial Narrow" w:eastAsia="Times New Roman" w:hAnsi="Arial Narrow" w:cs="Times New Roman"/>
          <w:bCs/>
        </w:rPr>
        <w:t>Bence</w:t>
      </w:r>
      <w:proofErr w:type="spellEnd"/>
      <w:r w:rsidRPr="000D442A">
        <w:rPr>
          <w:rFonts w:ascii="Arial Narrow" w:eastAsia="Times New Roman" w:hAnsi="Arial Narrow" w:cs="Times New Roman"/>
          <w:bCs/>
        </w:rPr>
        <w:t>-Jonesa, stężenie łańcuchów lekkich) powinien pochodzić z DZM (dobowej zbiórki moczu), chyba że lekarz zaleci inaczej.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31"/>
        </w:numPr>
        <w:spacing w:after="0" w:line="240" w:lineRule="auto"/>
        <w:ind w:left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 xml:space="preserve">Zalecenia dotyczące sprzętu i pojemników: </w:t>
      </w:r>
    </w:p>
    <w:p w:rsidR="000D442A" w:rsidRPr="000D442A" w:rsidRDefault="000D442A" w:rsidP="000D442A">
      <w:pPr>
        <w:numPr>
          <w:ilvl w:val="0"/>
          <w:numId w:val="33"/>
        </w:numPr>
        <w:spacing w:after="0" w:line="240" w:lineRule="auto"/>
        <w:ind w:left="697" w:hanging="357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do pobierania krwi  żylnej należy stosować systemy jednorazowego użytku, </w:t>
      </w:r>
    </w:p>
    <w:p w:rsidR="000D442A" w:rsidRPr="000D442A" w:rsidRDefault="000D442A" w:rsidP="000D442A">
      <w:pPr>
        <w:numPr>
          <w:ilvl w:val="0"/>
          <w:numId w:val="33"/>
        </w:numPr>
        <w:spacing w:after="0" w:line="240" w:lineRule="auto"/>
        <w:ind w:left="697" w:hanging="357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do pobierania moczu oraz płynów z jam ciała należy stosować przeznaczone do tego celu zamykane pojemniki jednorazowego użytku,</w:t>
      </w:r>
    </w:p>
    <w:p w:rsidR="000D442A" w:rsidRPr="000D442A" w:rsidRDefault="000D442A" w:rsidP="000D442A">
      <w:pPr>
        <w:numPr>
          <w:ilvl w:val="0"/>
          <w:numId w:val="33"/>
        </w:numPr>
        <w:spacing w:after="0" w:line="240" w:lineRule="auto"/>
        <w:ind w:left="697" w:hanging="357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szczegółowe informacje zostały zamieszczone w </w:t>
      </w:r>
      <w:r w:rsidRPr="000D442A">
        <w:rPr>
          <w:rFonts w:ascii="Arial Narrow" w:eastAsia="Calibri" w:hAnsi="Arial Narrow" w:cs="Times New Roman"/>
          <w:i/>
        </w:rPr>
        <w:t>Standardzie Nr 2 Księgi Standardów SPDL.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31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>W przypadku planowanego czasu przechowywania i/lub transportu materiału do badań powyżej 2 godzin od chwili pobrania, krew żylną, próbki moczu i/lub płynów z jam ciała, należy wstępnie odwirować, a otrzymane: surowicę / osocze / mocz (tzw. próbki wtórne) odpowiednio zabezpieczyć i opisać, a następnie, do czasu rozpoczęcia transportu do SPDL, przechowywać w warunkach chłodniczych, w temperaturze od +2 do + 8 °C, lub zamrozić, jeśli jest to wskazane i możliwe w danym przypadku.</w:t>
      </w:r>
      <w:bookmarkStart w:id="2" w:name="_Toc525642711"/>
    </w:p>
    <w:p w:rsidR="000D442A" w:rsidRPr="000D442A" w:rsidRDefault="000D442A" w:rsidP="000D442A">
      <w:pPr>
        <w:spacing w:line="256" w:lineRule="auto"/>
        <w:ind w:left="720"/>
        <w:contextualSpacing/>
        <w:rPr>
          <w:rFonts w:ascii="Arial Narrow" w:eastAsia="Times New Roman" w:hAnsi="Arial Narrow" w:cs="Times New Roman"/>
          <w:bCs/>
        </w:rPr>
      </w:pPr>
    </w:p>
    <w:p w:rsidR="000D442A" w:rsidRPr="000D442A" w:rsidRDefault="000D442A" w:rsidP="000D442A">
      <w:pPr>
        <w:numPr>
          <w:ilvl w:val="0"/>
          <w:numId w:val="31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Times New Roman" w:hAnsi="Arial Narrow" w:cs="Times New Roman"/>
          <w:bCs/>
        </w:rPr>
        <w:t>Wraz z materiałem do badań laboratoryjnych należy przygotować odpowiednio wypełnione skierowanie na badania laboratoryjne, które mają być wykonane w SPDL, zgodnie z umową lub innymi ustaleniami (skierowanie papierowe musi być umieszczone w oddzielnym opakowaniu foliowym, jeśli dotyczy).</w:t>
      </w:r>
    </w:p>
    <w:p w:rsidR="000D442A" w:rsidRPr="000D442A" w:rsidRDefault="000D442A" w:rsidP="000D442A">
      <w:pPr>
        <w:keepNext/>
        <w:keepLines/>
        <w:tabs>
          <w:tab w:val="left" w:pos="708"/>
        </w:tabs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color w:val="000000"/>
          <w:u w:val="single"/>
        </w:rPr>
      </w:pPr>
    </w:p>
    <w:p w:rsidR="000D442A" w:rsidRPr="000D442A" w:rsidRDefault="000D442A" w:rsidP="000D442A">
      <w:pPr>
        <w:keepNext/>
        <w:keepLines/>
        <w:numPr>
          <w:ilvl w:val="0"/>
          <w:numId w:val="28"/>
        </w:numPr>
        <w:tabs>
          <w:tab w:val="left" w:pos="708"/>
        </w:tabs>
        <w:spacing w:after="0" w:line="36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/>
          <w:color w:val="000000"/>
          <w:u w:val="single"/>
        </w:rPr>
      </w:pPr>
      <w:r w:rsidRPr="000D442A">
        <w:rPr>
          <w:rFonts w:ascii="Arial Narrow" w:eastAsia="Times New Roman" w:hAnsi="Arial Narrow" w:cs="Times New Roman"/>
          <w:b/>
          <w:color w:val="000000"/>
          <w:u w:val="single"/>
        </w:rPr>
        <w:t xml:space="preserve">Zasady transportu </w:t>
      </w:r>
      <w:bookmarkEnd w:id="2"/>
      <w:r w:rsidRPr="000D442A">
        <w:rPr>
          <w:rFonts w:ascii="Arial Narrow" w:eastAsia="Times New Roman" w:hAnsi="Arial Narrow" w:cs="Times New Roman"/>
          <w:b/>
          <w:color w:val="000000"/>
          <w:u w:val="single"/>
        </w:rPr>
        <w:t>materiału do badań laboratoryjnych wykonywanych w SPDL:</w:t>
      </w: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  <w:r w:rsidRPr="000D442A">
        <w:rPr>
          <w:rFonts w:ascii="Arial Narrow" w:eastAsia="Times New Roman" w:hAnsi="Arial Narrow" w:cs="Times New Roman"/>
          <w:bCs/>
        </w:rPr>
        <w:t>Każdy materiał biologiczny dostarczany do SPDL należy traktować jako materiał potencjalnie zakaźny. W celu zapewnienia bezpieczeństwa osobom transportującym oraz najbliższemu otroczeniu należy stosować ogólne zasady BHP obowiązujące w danej placówce medycznej i/lub kierować się informacjami, które zostały zamieszczone w Standardzie Nr 6 Księgi Standardów SPDL.</w:t>
      </w:r>
    </w:p>
    <w:p w:rsidR="000D442A" w:rsidRPr="000D442A" w:rsidRDefault="000D442A" w:rsidP="000D442A">
      <w:pPr>
        <w:spacing w:after="0" w:line="240" w:lineRule="auto"/>
        <w:ind w:left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 xml:space="preserve">Każdy materiał biologiczny dostarczany do SPDL należy przewozić transportem samochodowym, w termo-izolowanych pojemnikach, opisanych w widoczny sposób jako „BIOHAZARD / MATERIAŁ ZAKAŹNY”. 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  <w:r w:rsidRPr="000D442A">
        <w:rPr>
          <w:rFonts w:ascii="Arial Narrow" w:eastAsia="Times New Roman" w:hAnsi="Arial Narrow" w:cs="Times New Roman"/>
          <w:bCs/>
        </w:rPr>
        <w:t xml:space="preserve">Zalecana temperatura transportu materiału do badań laboratoryjnych, mierzona wewnątrz pojemnika transportowego, może wahać się od + 2 º C do + 25 º C, uwzględniając w tym określone wymagania Wykonawcy /SPDL, zgodne z umową lub innymi ustaleniami. 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</w:rPr>
      </w:pP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  <w:r w:rsidRPr="000D442A">
        <w:rPr>
          <w:rFonts w:ascii="Arial Narrow" w:eastAsia="Times New Roman" w:hAnsi="Arial Narrow" w:cs="Times New Roman"/>
          <w:bCs/>
        </w:rPr>
        <w:t>Zleceniodawcy zewnętrzni, którzy dostarczają materiał do badań laboratoryjnych wykonywanych w SPDL są zobowiązani do zabezpieczania pojemników transportowych w termometr umożliwiający odczyt temperatury w zakresie – 50 º C do + 50 º C.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</w:rPr>
      </w:pPr>
    </w:p>
    <w:p w:rsidR="000D442A" w:rsidRPr="00E870C4" w:rsidRDefault="000D442A" w:rsidP="00E870C4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  <w:r w:rsidRPr="000D442A">
        <w:rPr>
          <w:rFonts w:ascii="Arial Narrow" w:eastAsia="Times New Roman" w:hAnsi="Arial Narrow" w:cs="Times New Roman"/>
          <w:bCs/>
        </w:rPr>
        <w:t>Zleceniodawcy zewnętrzni, którzy mają podpisaną umowę z NIO-PIB w Warszawie w zakresie wykonywania badań laboratoryjnych na terenie SPDL, są zobowiązani do przekazywania do Sekretariatu SPDL aktualnych list osób upoważnionych do transportu materiału biologicznego. W przypadku, gdy za transport odpowiada firma kurierska, konieczne jest podanie nazwy firmy oraz telefonu kontaktowego.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</w:rPr>
      </w:pP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Cs/>
        </w:rPr>
      </w:pPr>
      <w:r w:rsidRPr="000D442A">
        <w:rPr>
          <w:rFonts w:ascii="Arial Narrow" w:eastAsia="Calibri" w:hAnsi="Arial Narrow" w:cs="Times New Roman"/>
        </w:rPr>
        <w:lastRenderedPageBreak/>
        <w:t>W przypadku uszkodzenia pojemnika transportowego i wydostania się materiału biologicznego na zewnątrz pojemnika, niezbędne jest oczyszczenie i dezynfekcja powierzchni mających kontakt z materiałem potencjalnie zakaźnym.  W tym celu należy: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włożyć jednorazowe rękawice ochronne,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przykryć powstałą plamę organiczną materiałem absorbującym w postaci ligniny lub waty, a po zaabsorbowaniu materiału umieścić w pojemniku / worku na odpady medyczne,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skażoną powierzchnię spryskać odpowiednim preparatem do dezynfekcji na bazie aktywnego chloru,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zdezynfekowaną powierzchnię pozostawić do wyschnięcia (ok. 15 min.)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w miarę możliwości powierzchnię zmyć czystą wodą  i zlikwidować nieszczelność opakowania zbiorczego,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umyć i zdezynfekować ręce, a następnie jak najszybciej dostarczyć uszkodzony pojemnik do Wykonawcy / SPDL celem zabezpieczenia pozostałego materiału do badań,</w:t>
      </w:r>
    </w:p>
    <w:p w:rsidR="000D442A" w:rsidRPr="000D442A" w:rsidRDefault="000D442A" w:rsidP="000D442A">
      <w:pPr>
        <w:numPr>
          <w:ilvl w:val="0"/>
          <w:numId w:val="35"/>
        </w:numPr>
        <w:spacing w:after="0" w:line="240" w:lineRule="auto"/>
        <w:ind w:left="68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poinformować pracownika Wykonawcy / SPDL odpowiedzialnego za przyjęcie materiału o zaistniałej sytuacji.</w:t>
      </w:r>
    </w:p>
    <w:p w:rsidR="000D442A" w:rsidRPr="000D442A" w:rsidRDefault="000D442A" w:rsidP="000D442A">
      <w:pPr>
        <w:spacing w:after="0" w:line="240" w:lineRule="auto"/>
        <w:ind w:left="340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numPr>
          <w:ilvl w:val="0"/>
          <w:numId w:val="34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Times New Roman"/>
        </w:rPr>
      </w:pPr>
      <w:r w:rsidRPr="000D442A">
        <w:rPr>
          <w:rFonts w:ascii="Arial Narrow" w:eastAsia="Calibri" w:hAnsi="Arial Narrow" w:cs="Times New Roman"/>
        </w:rPr>
        <w:t>Pracownik SPDL odbierający materiał do badań z uszkodzonego pojemnika transportowego jest zobowiązany do telefonicznego poinformowania Zleceniodawcy / lekarza kierującego o zaistniałym zdarzeniu i uzgodnienia dalszego toku postępowania. W przypadkach wątpliwych decyzję o dalszym toku postępowania podejmuje Kierownik SPDL / asystent odpowiedzialny dany obszar badań.</w:t>
      </w:r>
    </w:p>
    <w:p w:rsidR="000D442A" w:rsidRPr="000D442A" w:rsidRDefault="000D442A" w:rsidP="000D442A">
      <w:pPr>
        <w:spacing w:after="0" w:line="360" w:lineRule="auto"/>
        <w:jc w:val="both"/>
        <w:outlineLvl w:val="0"/>
        <w:rPr>
          <w:rFonts w:ascii="Arial Narrow" w:eastAsia="Calibri" w:hAnsi="Arial Narrow" w:cs="Times New Roman"/>
        </w:rPr>
      </w:pPr>
    </w:p>
    <w:p w:rsidR="000D442A" w:rsidRPr="000D442A" w:rsidRDefault="000D442A" w:rsidP="000D442A">
      <w:pPr>
        <w:keepNext/>
        <w:keepLines/>
        <w:numPr>
          <w:ilvl w:val="0"/>
          <w:numId w:val="28"/>
        </w:numPr>
        <w:tabs>
          <w:tab w:val="left" w:pos="708"/>
        </w:tabs>
        <w:spacing w:after="0" w:line="36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/>
          <w:bCs/>
          <w:u w:val="single"/>
        </w:rPr>
      </w:pPr>
      <w:r w:rsidRPr="000D442A">
        <w:rPr>
          <w:rFonts w:ascii="Arial Narrow" w:eastAsia="Times New Roman" w:hAnsi="Arial Narrow" w:cs="Times New Roman"/>
          <w:b/>
          <w:bCs/>
          <w:u w:val="single"/>
        </w:rPr>
        <w:t>Zasady przekazywania wyników badań laboratoryjnych do Zleceniodawcy zewnętrznego</w:t>
      </w:r>
    </w:p>
    <w:p w:rsidR="000D442A" w:rsidRPr="000D442A" w:rsidRDefault="000D442A" w:rsidP="000D442A">
      <w:pPr>
        <w:numPr>
          <w:ilvl w:val="0"/>
          <w:numId w:val="36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  <w:u w:val="single"/>
        </w:rPr>
        <w:t>Forma papierowa</w:t>
      </w:r>
      <w:r w:rsidRPr="000D442A">
        <w:rPr>
          <w:rFonts w:ascii="Arial Narrow" w:eastAsia="Calibri" w:hAnsi="Arial Narrow" w:cs="Arial"/>
        </w:rPr>
        <w:t xml:space="preserve"> – pocztą, w zamkniętej kopercie na adres Zleceniodawcy wskazany na skierowaniu, przez Kancelarię NIO-PIB (wpis do Książki korespondencji SPDL).</w:t>
      </w:r>
    </w:p>
    <w:p w:rsidR="000D442A" w:rsidRPr="000D442A" w:rsidRDefault="000D442A" w:rsidP="000D442A">
      <w:pPr>
        <w:spacing w:after="0" w:line="240" w:lineRule="auto"/>
        <w:ind w:left="340"/>
        <w:contextualSpacing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numPr>
          <w:ilvl w:val="0"/>
          <w:numId w:val="36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  <w:u w:val="single"/>
        </w:rPr>
        <w:t>Forma dokumentowa zaszyfrowana</w:t>
      </w:r>
      <w:r w:rsidRPr="000D442A">
        <w:rPr>
          <w:rFonts w:ascii="Arial Narrow" w:eastAsia="Calibri" w:hAnsi="Arial Narrow" w:cs="Arial"/>
        </w:rPr>
        <w:t xml:space="preserve"> - przekazanie wyników drogą elektroniczną (e-mail), przy użyciu hasła ustalonego z odbiorcą wyniku.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numPr>
          <w:ilvl w:val="0"/>
          <w:numId w:val="36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  <w:u w:val="single"/>
        </w:rPr>
        <w:t>Forma dokumentowa (mail), niezaszyfrowana</w:t>
      </w:r>
      <w:r w:rsidRPr="000D442A">
        <w:rPr>
          <w:rFonts w:ascii="Arial Narrow" w:eastAsia="Calibri" w:hAnsi="Arial Narrow" w:cs="Arial"/>
        </w:rPr>
        <w:t xml:space="preserve"> - jedynie w sytuacji awaryjnej (na żądanie Zleceniodawcy), będzie realizowana w postaci </w:t>
      </w:r>
      <w:proofErr w:type="spellStart"/>
      <w:r w:rsidRPr="000D442A">
        <w:rPr>
          <w:rFonts w:ascii="Arial Narrow" w:eastAsia="Calibri" w:hAnsi="Arial Narrow" w:cs="Arial"/>
        </w:rPr>
        <w:t>pseudonimizowanej</w:t>
      </w:r>
      <w:proofErr w:type="spellEnd"/>
      <w:r w:rsidRPr="000D442A">
        <w:rPr>
          <w:rFonts w:ascii="Arial Narrow" w:eastAsia="Calibri" w:hAnsi="Arial Narrow" w:cs="Arial"/>
        </w:rPr>
        <w:t xml:space="preserve">* 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numPr>
          <w:ilvl w:val="0"/>
          <w:numId w:val="36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  <w:u w:val="single"/>
        </w:rPr>
        <w:t>Przesyłanie wyników faxem</w:t>
      </w:r>
      <w:r w:rsidRPr="000D442A">
        <w:rPr>
          <w:rFonts w:ascii="Arial Narrow" w:eastAsia="Calibri" w:hAnsi="Arial Narrow" w:cs="Arial"/>
        </w:rPr>
        <w:t xml:space="preserve"> - jedynie w sytuacji awaryjnej (na żądanie Zleceniodawcy), będzie realizowana w postaci </w:t>
      </w:r>
      <w:proofErr w:type="spellStart"/>
      <w:r w:rsidRPr="000D442A">
        <w:rPr>
          <w:rFonts w:ascii="Arial Narrow" w:eastAsia="Calibri" w:hAnsi="Arial Narrow" w:cs="Arial"/>
        </w:rPr>
        <w:t>pseudonimizowanej</w:t>
      </w:r>
      <w:proofErr w:type="spellEnd"/>
      <w:r w:rsidRPr="000D442A">
        <w:rPr>
          <w:rFonts w:ascii="Arial Narrow" w:eastAsia="Calibri" w:hAnsi="Arial Narrow" w:cs="Arial"/>
        </w:rPr>
        <w:t>*.</w:t>
      </w: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numPr>
          <w:ilvl w:val="0"/>
          <w:numId w:val="36"/>
        </w:numPr>
        <w:spacing w:after="0" w:line="240" w:lineRule="auto"/>
        <w:ind w:left="340" w:hanging="340"/>
        <w:contextualSpacing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  <w:u w:val="single"/>
        </w:rPr>
        <w:t xml:space="preserve">Dostęp do wyników przez platformę </w:t>
      </w:r>
      <w:proofErr w:type="spellStart"/>
      <w:r w:rsidRPr="000D442A">
        <w:rPr>
          <w:rFonts w:ascii="Arial Narrow" w:eastAsia="Calibri" w:hAnsi="Arial Narrow" w:cs="Arial"/>
          <w:u w:val="single"/>
        </w:rPr>
        <w:t>eLaborat</w:t>
      </w:r>
      <w:proofErr w:type="spellEnd"/>
      <w:r w:rsidRPr="000D442A">
        <w:rPr>
          <w:rFonts w:ascii="Arial Narrow" w:eastAsia="Calibri" w:hAnsi="Arial Narrow" w:cs="Arial"/>
          <w:u w:val="single"/>
        </w:rPr>
        <w:t>:</w:t>
      </w:r>
      <w:r w:rsidRPr="000D442A">
        <w:rPr>
          <w:rFonts w:ascii="Arial Narrow" w:eastAsia="Calibri" w:hAnsi="Arial Narrow" w:cs="Arial"/>
        </w:rPr>
        <w:t xml:space="preserve"> w uzgodnieniu ze Zleceniodawcą lub zgodnie z zapisami umowy administrator Laboratoryjnego Systemu Informatycznego zakłada tzw. jednostkę organizacyjną, ustala identyfikator i hasło pierwszorazowego dostępu w LSI Marcel, a następnie przekazuje te dane Zleceniodawcy. Przy pierwszym logowaniu Zleceniodawca zmienia hasło pierwszorazowe. Platforma </w:t>
      </w:r>
      <w:proofErr w:type="spellStart"/>
      <w:r w:rsidRPr="000D442A">
        <w:rPr>
          <w:rFonts w:ascii="Arial Narrow" w:eastAsia="Calibri" w:hAnsi="Arial Narrow" w:cs="Arial"/>
        </w:rPr>
        <w:t>eLaborat</w:t>
      </w:r>
      <w:proofErr w:type="spellEnd"/>
      <w:r w:rsidRPr="000D442A">
        <w:rPr>
          <w:rFonts w:ascii="Arial Narrow" w:eastAsia="Calibri" w:hAnsi="Arial Narrow" w:cs="Arial"/>
        </w:rPr>
        <w:t xml:space="preserve"> umożliwia dostęp do wszystkich wyników badań wykonanych na wniosek Zleceniodawcy z okresu ostatnich 90 dni. </w:t>
      </w:r>
    </w:p>
    <w:p w:rsidR="000D442A" w:rsidRPr="000D442A" w:rsidRDefault="000D442A" w:rsidP="000D442A">
      <w:pPr>
        <w:spacing w:after="0" w:line="240" w:lineRule="auto"/>
        <w:ind w:left="340"/>
        <w:contextualSpacing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spacing w:after="0" w:line="240" w:lineRule="auto"/>
        <w:ind w:left="340" w:hanging="340"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</w:rPr>
        <w:t>*</w:t>
      </w:r>
      <w:proofErr w:type="spellStart"/>
      <w:r w:rsidRPr="000D442A">
        <w:rPr>
          <w:rFonts w:ascii="Arial Narrow" w:eastAsia="Calibri" w:hAnsi="Arial Narrow" w:cs="Arial"/>
        </w:rPr>
        <w:t>Pseudonimizacja</w:t>
      </w:r>
      <w:proofErr w:type="spellEnd"/>
      <w:r w:rsidRPr="000D442A">
        <w:rPr>
          <w:rFonts w:ascii="Arial Narrow" w:eastAsia="Calibri" w:hAnsi="Arial Narrow" w:cs="Arial"/>
        </w:rPr>
        <w:t xml:space="preserve"> – przetworzenie danych osobowych w taki sposób, by nie można ich było przypisać konkretnej osobie, której te dane dotyczą, bez użycia dodatkowych informacji, pod warunkiem, że takie dodatkowe informacje są przechowywane osobno i są odpowiednio zabezpieczone.</w:t>
      </w:r>
    </w:p>
    <w:p w:rsidR="000D442A" w:rsidRPr="000D442A" w:rsidRDefault="000D442A" w:rsidP="000D442A">
      <w:pPr>
        <w:spacing w:after="0" w:line="240" w:lineRule="auto"/>
        <w:ind w:left="340" w:hanging="340"/>
        <w:jc w:val="both"/>
        <w:outlineLvl w:val="0"/>
        <w:rPr>
          <w:rFonts w:ascii="Arial Narrow" w:eastAsia="Calibri" w:hAnsi="Arial Narrow" w:cs="Arial"/>
        </w:rPr>
      </w:pPr>
    </w:p>
    <w:p w:rsidR="000D442A" w:rsidRPr="000D442A" w:rsidRDefault="000D442A" w:rsidP="000D442A">
      <w:pPr>
        <w:keepNext/>
        <w:keepLines/>
        <w:numPr>
          <w:ilvl w:val="0"/>
          <w:numId w:val="28"/>
        </w:numPr>
        <w:tabs>
          <w:tab w:val="left" w:pos="708"/>
        </w:tabs>
        <w:spacing w:after="0" w:line="240" w:lineRule="auto"/>
        <w:ind w:left="340" w:hanging="340"/>
        <w:contextualSpacing/>
        <w:jc w:val="both"/>
        <w:outlineLvl w:val="0"/>
        <w:rPr>
          <w:rFonts w:ascii="Arial Narrow" w:eastAsia="Times New Roman" w:hAnsi="Arial Narrow" w:cs="Times New Roman"/>
          <w:b/>
          <w:bCs/>
          <w:u w:val="single"/>
        </w:rPr>
      </w:pPr>
      <w:r w:rsidRPr="000D442A">
        <w:rPr>
          <w:rFonts w:ascii="Arial Narrow" w:eastAsia="Times New Roman" w:hAnsi="Arial Narrow" w:cs="Times New Roman"/>
          <w:b/>
          <w:bCs/>
          <w:u w:val="single"/>
        </w:rPr>
        <w:t>Zasady przechowywania materiału na terenie SPDL po wykonaniu zleconych badań</w:t>
      </w:r>
    </w:p>
    <w:p w:rsidR="000D442A" w:rsidRPr="000D442A" w:rsidRDefault="000D442A" w:rsidP="000D442A">
      <w:pPr>
        <w:keepNext/>
        <w:keepLines/>
        <w:tabs>
          <w:tab w:val="left" w:pos="708"/>
        </w:tabs>
        <w:spacing w:after="0" w:line="240" w:lineRule="auto"/>
        <w:ind w:left="340"/>
        <w:contextualSpacing/>
        <w:jc w:val="both"/>
        <w:outlineLvl w:val="0"/>
        <w:rPr>
          <w:rFonts w:ascii="Arial Narrow" w:eastAsia="Times New Roman" w:hAnsi="Arial Narrow" w:cs="Times New Roman"/>
          <w:b/>
          <w:bCs/>
          <w:u w:val="single"/>
        </w:rPr>
      </w:pPr>
    </w:p>
    <w:p w:rsidR="000D442A" w:rsidRPr="000D442A" w:rsidRDefault="000D442A" w:rsidP="000D442A">
      <w:pPr>
        <w:spacing w:after="0" w:line="240" w:lineRule="auto"/>
        <w:jc w:val="both"/>
        <w:outlineLvl w:val="0"/>
        <w:rPr>
          <w:rFonts w:ascii="Arial Narrow" w:eastAsia="Calibri" w:hAnsi="Arial Narrow" w:cs="Arial"/>
        </w:rPr>
      </w:pPr>
      <w:r w:rsidRPr="000D442A">
        <w:rPr>
          <w:rFonts w:ascii="Arial Narrow" w:eastAsia="Calibri" w:hAnsi="Arial Narrow" w:cs="Arial"/>
        </w:rPr>
        <w:t>Standardowo, po wykonaniu zleconych badań laboratoryjnych, na terenie SPDL próbki dostarczonego materiału przechowywane są maksymalnie do 72 godz., niemniej istnieje możliwość dalszego przechowywania tzw. próbek wtórnych</w:t>
      </w:r>
      <w:r w:rsidRPr="000D442A">
        <w:rPr>
          <w:rFonts w:ascii="Arial Narrow" w:eastAsia="Calibri" w:hAnsi="Arial Narrow" w:cs="Times New Roman"/>
        </w:rPr>
        <w:t xml:space="preserve"> w stanie zamrożenia, w temperaturze od - 20ºC do - 30ºC, po wcześniejszym uzgodnieniu czasu i warunków przechowywania wskazanego materiału biologicznego z Kierownikiem SPDL.</w:t>
      </w:r>
    </w:p>
    <w:p w:rsidR="00C24107" w:rsidRPr="000D442A" w:rsidRDefault="00C24107" w:rsidP="000D442A"/>
    <w:sectPr w:rsidR="00C24107" w:rsidRPr="000D442A" w:rsidSect="00BC23AE">
      <w:headerReference w:type="default" r:id="rId11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85" w:rsidRDefault="00DF7285" w:rsidP="00C94D08">
      <w:pPr>
        <w:spacing w:after="0" w:line="240" w:lineRule="auto"/>
      </w:pPr>
      <w:r>
        <w:separator/>
      </w:r>
    </w:p>
  </w:endnote>
  <w:endnote w:type="continuationSeparator" w:id="0">
    <w:p w:rsidR="00DF7285" w:rsidRDefault="00DF7285" w:rsidP="00C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85" w:rsidRDefault="00DF7285" w:rsidP="00C94D08">
      <w:pPr>
        <w:spacing w:after="0" w:line="240" w:lineRule="auto"/>
      </w:pPr>
      <w:r>
        <w:separator/>
      </w:r>
    </w:p>
  </w:footnote>
  <w:footnote w:type="continuationSeparator" w:id="0">
    <w:p w:rsidR="00DF7285" w:rsidRDefault="00DF7285" w:rsidP="00C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7763"/>
    </w:tblGrid>
    <w:tr w:rsidR="00BF7CFA" w:rsidRPr="004D14BF" w:rsidTr="00F52004">
      <w:trPr>
        <w:trHeight w:val="354"/>
      </w:trPr>
      <w:tc>
        <w:tcPr>
          <w:tcW w:w="2160" w:type="dxa"/>
          <w:vAlign w:val="center"/>
        </w:tcPr>
        <w:p w:rsidR="00BF7CFA" w:rsidRPr="004D14BF" w:rsidRDefault="00BF7CFA" w:rsidP="00BF7CFA">
          <w:pPr>
            <w:jc w:val="center"/>
            <w:rPr>
              <w:rFonts w:ascii="Times New Roman" w:hAnsi="Times New Roman" w:cs="Times New Roman"/>
            </w:rPr>
          </w:pPr>
          <w:r w:rsidRPr="004D14BF">
            <w:rPr>
              <w:rFonts w:ascii="Times New Roman" w:hAnsi="Times New Roman" w:cs="Times New Roman"/>
            </w:rPr>
            <w:t>Data wydania:</w:t>
          </w:r>
        </w:p>
        <w:p w:rsidR="00BF7CFA" w:rsidRPr="004D14BF" w:rsidRDefault="009573A4" w:rsidP="00BF7CFA">
          <w:pPr>
            <w:jc w:val="center"/>
            <w:rPr>
              <w:rFonts w:ascii="Times New Roman" w:hAnsi="Times New Roman" w:cs="Times New Roman"/>
            </w:rPr>
          </w:pPr>
          <w:r w:rsidRPr="004D14BF">
            <w:rPr>
              <w:rFonts w:ascii="Times New Roman" w:hAnsi="Times New Roman" w:cs="Times New Roman"/>
              <w:bCs/>
            </w:rPr>
            <w:t>15.03.2023</w:t>
          </w:r>
          <w:r w:rsidR="00BF7CFA" w:rsidRPr="004D14BF">
            <w:rPr>
              <w:rFonts w:ascii="Times New Roman" w:hAnsi="Times New Roman" w:cs="Times New Roman"/>
              <w:bCs/>
            </w:rPr>
            <w:t xml:space="preserve"> r.</w:t>
          </w:r>
        </w:p>
      </w:tc>
      <w:tc>
        <w:tcPr>
          <w:tcW w:w="7763" w:type="dxa"/>
          <w:vAlign w:val="center"/>
        </w:tcPr>
        <w:p w:rsidR="00BF7CFA" w:rsidRPr="004D14BF" w:rsidRDefault="00BF7CFA" w:rsidP="00BF7CFA">
          <w:pPr>
            <w:spacing w:after="0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4D14BF">
            <w:rPr>
              <w:rFonts w:ascii="Times New Roman" w:hAnsi="Times New Roman" w:cs="Times New Roman"/>
              <w:b/>
              <w:sz w:val="28"/>
              <w:szCs w:val="32"/>
            </w:rPr>
            <w:t>Samodzielna Pracownia Diagnostyki Laboratoryjnej</w:t>
          </w:r>
        </w:p>
        <w:p w:rsidR="00BF7CFA" w:rsidRPr="004D14BF" w:rsidRDefault="00BF7CFA" w:rsidP="00BF7CFA">
          <w:pPr>
            <w:spacing w:after="0"/>
            <w:ind w:left="180"/>
            <w:jc w:val="center"/>
            <w:rPr>
              <w:rFonts w:ascii="Times New Roman" w:hAnsi="Times New Roman" w:cs="Times New Roman"/>
              <w:b/>
            </w:rPr>
          </w:pPr>
          <w:r w:rsidRPr="004D14BF">
            <w:rPr>
              <w:rFonts w:ascii="Times New Roman" w:hAnsi="Times New Roman" w:cs="Times New Roman"/>
              <w:sz w:val="18"/>
            </w:rPr>
            <w:t>Narodowy Instytut Onkologii im. M. Skłodowskiej-Curie, Państwowy Instytut Badawczy Warszawa</w:t>
          </w:r>
        </w:p>
        <w:p w:rsidR="00BF7CFA" w:rsidRPr="004D14BF" w:rsidRDefault="00BF7CFA" w:rsidP="00BF7CFA">
          <w:pPr>
            <w:spacing w:after="0"/>
            <w:ind w:left="-2160"/>
            <w:jc w:val="center"/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</w:pPr>
          <w:r w:rsidRPr="004D14BF">
            <w:rPr>
              <w:rFonts w:ascii="Times New Roman" w:hAnsi="Times New Roman" w:cs="Times New Roman"/>
              <w:b/>
              <w:sz w:val="24"/>
              <w:szCs w:val="28"/>
            </w:rPr>
            <w:t xml:space="preserve">                                </w:t>
          </w:r>
          <w:proofErr w:type="spellStart"/>
          <w:r w:rsidRPr="004D14BF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>Nr</w:t>
          </w:r>
          <w:proofErr w:type="spellEnd"/>
          <w:r w:rsidRPr="004D14BF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 xml:space="preserve"> </w:t>
          </w:r>
          <w:proofErr w:type="spellStart"/>
          <w:r w:rsidRPr="004D14BF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>Rejestru</w:t>
          </w:r>
          <w:proofErr w:type="spellEnd"/>
          <w:r w:rsidRPr="004D14BF">
            <w:rPr>
              <w:rFonts w:ascii="Times New Roman" w:hAnsi="Times New Roman" w:cs="Times New Roman"/>
              <w:b/>
              <w:sz w:val="24"/>
              <w:szCs w:val="28"/>
              <w:lang w:val="en-US"/>
            </w:rPr>
            <w:t xml:space="preserve"> KIDL 0557</w:t>
          </w:r>
        </w:p>
        <w:p w:rsidR="00BF7CFA" w:rsidRPr="004D14BF" w:rsidRDefault="00BF7CFA" w:rsidP="00BF7CFA">
          <w:pPr>
            <w:spacing w:after="0"/>
            <w:jc w:val="center"/>
            <w:rPr>
              <w:rFonts w:ascii="Times New Roman" w:hAnsi="Times New Roman" w:cs="Times New Roman"/>
              <w:b/>
              <w:szCs w:val="24"/>
              <w:lang w:val="en-US"/>
            </w:rPr>
          </w:pPr>
          <w:r w:rsidRPr="004D14BF">
            <w:rPr>
              <w:rFonts w:ascii="Times New Roman" w:hAnsi="Times New Roman" w:cs="Times New Roman"/>
              <w:b/>
              <w:szCs w:val="24"/>
              <w:lang w:val="en-US"/>
            </w:rPr>
            <w:t xml:space="preserve">Tel. 22 546 22 30,  e-mail: </w:t>
          </w:r>
          <w:hyperlink r:id="rId1" w:history="1">
            <w:r w:rsidRPr="004D14BF">
              <w:rPr>
                <w:rStyle w:val="Hipercze"/>
                <w:rFonts w:ascii="Times New Roman" w:hAnsi="Times New Roman" w:cs="Times New Roman"/>
                <w:b/>
                <w:szCs w:val="24"/>
                <w:lang w:val="en-US"/>
              </w:rPr>
              <w:t>spdl@pib-nio.pl</w:t>
            </w:r>
          </w:hyperlink>
        </w:p>
      </w:tc>
    </w:tr>
    <w:tr w:rsidR="008618D9" w:rsidRPr="004D14BF" w:rsidTr="00F52004">
      <w:trPr>
        <w:trHeight w:val="687"/>
      </w:trPr>
      <w:tc>
        <w:tcPr>
          <w:tcW w:w="9923" w:type="dxa"/>
          <w:gridSpan w:val="2"/>
          <w:vAlign w:val="center"/>
        </w:tcPr>
        <w:p w:rsidR="008618D9" w:rsidRPr="004D14BF" w:rsidRDefault="00E870C4" w:rsidP="009573A4">
          <w:pPr>
            <w:spacing w:after="0" w:line="25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D14BF">
            <w:rPr>
              <w:rFonts w:ascii="Times New Roman" w:hAnsi="Times New Roman" w:cs="Times New Roman"/>
              <w:b/>
              <w:sz w:val="28"/>
              <w:szCs w:val="28"/>
            </w:rPr>
            <w:t>Zalecenia</w:t>
          </w:r>
          <w:r w:rsidR="008618D9" w:rsidRPr="004D14BF">
            <w:rPr>
              <w:rFonts w:ascii="Times New Roman" w:hAnsi="Times New Roman" w:cs="Times New Roman"/>
              <w:b/>
              <w:sz w:val="28"/>
              <w:szCs w:val="28"/>
            </w:rPr>
            <w:t xml:space="preserve"> dla zleceniodawców zewnętrznych </w:t>
          </w:r>
          <w:r w:rsidR="00BF7CFA" w:rsidRPr="004D14BF">
            <w:rPr>
              <w:rFonts w:ascii="Times New Roman" w:hAnsi="Times New Roman" w:cs="Times New Roman"/>
              <w:b/>
              <w:sz w:val="28"/>
              <w:szCs w:val="28"/>
            </w:rPr>
            <w:t>SPDL</w:t>
          </w:r>
          <w:r w:rsidR="009573A4" w:rsidRPr="004D14BF">
            <w:rPr>
              <w:rFonts w:ascii="Times New Roman" w:hAnsi="Times New Roman" w:cs="Times New Roman"/>
              <w:b/>
              <w:sz w:val="28"/>
              <w:szCs w:val="28"/>
            </w:rPr>
            <w:t xml:space="preserve"> (instytucjonalnych</w:t>
          </w:r>
          <w:r w:rsidR="00A91B1D" w:rsidRPr="004D14BF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tc>
    </w:tr>
  </w:tbl>
  <w:p w:rsidR="00C94D08" w:rsidRDefault="00C94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4E"/>
    <w:multiLevelType w:val="hybridMultilevel"/>
    <w:tmpl w:val="ED347DA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B6F5C92"/>
    <w:multiLevelType w:val="hybridMultilevel"/>
    <w:tmpl w:val="17A6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783"/>
    <w:multiLevelType w:val="multilevel"/>
    <w:tmpl w:val="B5843B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E22D77"/>
    <w:multiLevelType w:val="hybridMultilevel"/>
    <w:tmpl w:val="B0D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65E3"/>
    <w:multiLevelType w:val="hybridMultilevel"/>
    <w:tmpl w:val="1DF4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8F0"/>
    <w:multiLevelType w:val="hybridMultilevel"/>
    <w:tmpl w:val="14D2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7E26"/>
    <w:multiLevelType w:val="hybridMultilevel"/>
    <w:tmpl w:val="A844A6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8138B9"/>
    <w:multiLevelType w:val="hybridMultilevel"/>
    <w:tmpl w:val="401E4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9A065E"/>
    <w:multiLevelType w:val="hybridMultilevel"/>
    <w:tmpl w:val="40462A00"/>
    <w:lvl w:ilvl="0" w:tplc="48C665D6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93744C"/>
    <w:multiLevelType w:val="hybridMultilevel"/>
    <w:tmpl w:val="C7A6A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C0E3D"/>
    <w:multiLevelType w:val="hybridMultilevel"/>
    <w:tmpl w:val="D3FAB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40A40"/>
    <w:multiLevelType w:val="hybridMultilevel"/>
    <w:tmpl w:val="C8C6C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A4DE5"/>
    <w:multiLevelType w:val="multilevel"/>
    <w:tmpl w:val="72906330"/>
    <w:lvl w:ilvl="0">
      <w:start w:val="1"/>
      <w:numFmt w:val="bullet"/>
      <w:lvlText w:val=""/>
      <w:lvlJc w:val="left"/>
      <w:pPr>
        <w:ind w:left="6429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71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440"/>
      </w:pPr>
      <w:rPr>
        <w:rFonts w:hint="default"/>
      </w:rPr>
    </w:lvl>
  </w:abstractNum>
  <w:abstractNum w:abstractNumId="13">
    <w:nsid w:val="3280193B"/>
    <w:multiLevelType w:val="hybridMultilevel"/>
    <w:tmpl w:val="2BE8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0AB4"/>
    <w:multiLevelType w:val="hybridMultilevel"/>
    <w:tmpl w:val="C7A6A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A7594"/>
    <w:multiLevelType w:val="hybridMultilevel"/>
    <w:tmpl w:val="5BFAEFE8"/>
    <w:lvl w:ilvl="0" w:tplc="4AC035A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8904F6"/>
    <w:multiLevelType w:val="hybridMultilevel"/>
    <w:tmpl w:val="1C94C3C8"/>
    <w:lvl w:ilvl="0" w:tplc="4AC035AC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E24C3D"/>
    <w:multiLevelType w:val="hybridMultilevel"/>
    <w:tmpl w:val="EBCEB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531D4"/>
    <w:multiLevelType w:val="hybridMultilevel"/>
    <w:tmpl w:val="88640E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8E72DF"/>
    <w:multiLevelType w:val="hybridMultilevel"/>
    <w:tmpl w:val="3BCC6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61C79"/>
    <w:multiLevelType w:val="hybridMultilevel"/>
    <w:tmpl w:val="FFFA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09A"/>
    <w:multiLevelType w:val="hybridMultilevel"/>
    <w:tmpl w:val="61BABB4A"/>
    <w:lvl w:ilvl="0" w:tplc="25104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1F7D"/>
    <w:multiLevelType w:val="multilevel"/>
    <w:tmpl w:val="7340FC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24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DE71369"/>
    <w:multiLevelType w:val="hybridMultilevel"/>
    <w:tmpl w:val="BD9E0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554E2"/>
    <w:multiLevelType w:val="hybridMultilevel"/>
    <w:tmpl w:val="4F389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75B4146"/>
    <w:multiLevelType w:val="hybridMultilevel"/>
    <w:tmpl w:val="A5BE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19CF"/>
    <w:multiLevelType w:val="hybridMultilevel"/>
    <w:tmpl w:val="87B24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6"/>
  </w:num>
  <w:num w:numId="20">
    <w:abstractNumId w:val="6"/>
  </w:num>
  <w:num w:numId="21">
    <w:abstractNumId w:val="3"/>
  </w:num>
  <w:num w:numId="22">
    <w:abstractNumId w:val="0"/>
  </w:num>
  <w:num w:numId="23">
    <w:abstractNumId w:val="10"/>
  </w:num>
  <w:num w:numId="24">
    <w:abstractNumId w:val="4"/>
  </w:num>
  <w:num w:numId="25">
    <w:abstractNumId w:val="14"/>
  </w:num>
  <w:num w:numId="26">
    <w:abstractNumId w:val="15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0268B5"/>
    <w:rsid w:val="00065E32"/>
    <w:rsid w:val="00072855"/>
    <w:rsid w:val="000D442A"/>
    <w:rsid w:val="00121051"/>
    <w:rsid w:val="001315E3"/>
    <w:rsid w:val="00140102"/>
    <w:rsid w:val="00197A76"/>
    <w:rsid w:val="001A277C"/>
    <w:rsid w:val="001D4D12"/>
    <w:rsid w:val="001E2560"/>
    <w:rsid w:val="002012CE"/>
    <w:rsid w:val="0021420A"/>
    <w:rsid w:val="0022458D"/>
    <w:rsid w:val="00233D77"/>
    <w:rsid w:val="00254BEF"/>
    <w:rsid w:val="002677C5"/>
    <w:rsid w:val="002D34FE"/>
    <w:rsid w:val="0032407D"/>
    <w:rsid w:val="003352A1"/>
    <w:rsid w:val="00352844"/>
    <w:rsid w:val="00357BD0"/>
    <w:rsid w:val="003607CF"/>
    <w:rsid w:val="003652C3"/>
    <w:rsid w:val="0039179E"/>
    <w:rsid w:val="00391FC6"/>
    <w:rsid w:val="003A3899"/>
    <w:rsid w:val="003D467B"/>
    <w:rsid w:val="0040185C"/>
    <w:rsid w:val="00436A0E"/>
    <w:rsid w:val="004B3A1A"/>
    <w:rsid w:val="004B46E5"/>
    <w:rsid w:val="004D14BF"/>
    <w:rsid w:val="004F5F82"/>
    <w:rsid w:val="0055790B"/>
    <w:rsid w:val="00562526"/>
    <w:rsid w:val="00586EE3"/>
    <w:rsid w:val="005D7F76"/>
    <w:rsid w:val="005F19D1"/>
    <w:rsid w:val="006231F8"/>
    <w:rsid w:val="0062639A"/>
    <w:rsid w:val="00653AE3"/>
    <w:rsid w:val="006C698D"/>
    <w:rsid w:val="006D7877"/>
    <w:rsid w:val="00711548"/>
    <w:rsid w:val="00727F9D"/>
    <w:rsid w:val="00785DD0"/>
    <w:rsid w:val="00786C29"/>
    <w:rsid w:val="007B11C5"/>
    <w:rsid w:val="007E4CF2"/>
    <w:rsid w:val="007E5792"/>
    <w:rsid w:val="007F381C"/>
    <w:rsid w:val="008618D9"/>
    <w:rsid w:val="008C2E61"/>
    <w:rsid w:val="008F468D"/>
    <w:rsid w:val="00925620"/>
    <w:rsid w:val="0093280F"/>
    <w:rsid w:val="0094679D"/>
    <w:rsid w:val="00955E31"/>
    <w:rsid w:val="009573A4"/>
    <w:rsid w:val="009745CF"/>
    <w:rsid w:val="009D34F5"/>
    <w:rsid w:val="009F688C"/>
    <w:rsid w:val="00A00596"/>
    <w:rsid w:val="00A12744"/>
    <w:rsid w:val="00A549FD"/>
    <w:rsid w:val="00A83FDC"/>
    <w:rsid w:val="00A91B1D"/>
    <w:rsid w:val="00AD0558"/>
    <w:rsid w:val="00AF1897"/>
    <w:rsid w:val="00B04F9C"/>
    <w:rsid w:val="00B10EA0"/>
    <w:rsid w:val="00B247E0"/>
    <w:rsid w:val="00B73D8E"/>
    <w:rsid w:val="00B822C0"/>
    <w:rsid w:val="00BB3F7C"/>
    <w:rsid w:val="00BC23AE"/>
    <w:rsid w:val="00BC4723"/>
    <w:rsid w:val="00BF13DD"/>
    <w:rsid w:val="00BF7CFA"/>
    <w:rsid w:val="00C03485"/>
    <w:rsid w:val="00C24107"/>
    <w:rsid w:val="00C27F79"/>
    <w:rsid w:val="00C94D08"/>
    <w:rsid w:val="00CD440F"/>
    <w:rsid w:val="00DC15A4"/>
    <w:rsid w:val="00DD3034"/>
    <w:rsid w:val="00DF594A"/>
    <w:rsid w:val="00DF7285"/>
    <w:rsid w:val="00E31486"/>
    <w:rsid w:val="00E5353E"/>
    <w:rsid w:val="00E56665"/>
    <w:rsid w:val="00E870C4"/>
    <w:rsid w:val="00E9618B"/>
    <w:rsid w:val="00EC63E1"/>
    <w:rsid w:val="00ED22AE"/>
    <w:rsid w:val="00ED286A"/>
    <w:rsid w:val="00ED52BE"/>
    <w:rsid w:val="00ED723A"/>
    <w:rsid w:val="00EF2A43"/>
    <w:rsid w:val="00F52004"/>
    <w:rsid w:val="00F94EED"/>
    <w:rsid w:val="00FA7F30"/>
    <w:rsid w:val="00FD20F1"/>
    <w:rsid w:val="00FD2510"/>
    <w:rsid w:val="00FD4E4F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8"/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18D9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86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861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08"/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618D9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86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861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ib-ni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b-ni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2E2B-2E90-4414-BDDF-C35261A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Szkop</cp:lastModifiedBy>
  <cp:revision>9</cp:revision>
  <cp:lastPrinted>2018-12-10T11:35:00Z</cp:lastPrinted>
  <dcterms:created xsi:type="dcterms:W3CDTF">2022-10-20T10:29:00Z</dcterms:created>
  <dcterms:modified xsi:type="dcterms:W3CDTF">2023-03-09T12:56:00Z</dcterms:modified>
</cp:coreProperties>
</file>